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37" w:rsidRDefault="00B320BB">
      <w:r>
        <w:t>Today’s Big Ideas: Esther</w:t>
      </w:r>
    </w:p>
    <w:p w:rsidR="005B2212" w:rsidRDefault="00B320BB" w:rsidP="00B320BB">
      <w:pPr>
        <w:pStyle w:val="ListParagraph"/>
        <w:numPr>
          <w:ilvl w:val="0"/>
          <w:numId w:val="1"/>
        </w:numPr>
      </w:pPr>
      <w:r>
        <w:t xml:space="preserve">Esther is set </w:t>
      </w:r>
      <w:r w:rsidR="005B2212">
        <w:t>during the Persian period</w:t>
      </w:r>
      <w:r>
        <w:t xml:space="preserve">, but it is a fictional story probably written during the </w:t>
      </w:r>
      <w:r w:rsidR="005B2212">
        <w:t xml:space="preserve">late </w:t>
      </w:r>
      <w:r>
        <w:t>Persian period</w:t>
      </w:r>
      <w:r w:rsidR="005B2212">
        <w:t xml:space="preserve"> or Greek</w:t>
      </w:r>
      <w:r>
        <w:t xml:space="preserve">, to explain why the Jews celebrate Purim, which is Persian in origin. </w:t>
      </w:r>
      <w:r w:rsidR="005B2212">
        <w:t>There is no mention of Esther in the Dead Sea scrolls or in first century BCE literature, but it is part of the Megillah by the 2</w:t>
      </w:r>
      <w:r w:rsidR="005B2212" w:rsidRPr="005B2212">
        <w:rPr>
          <w:vertAlign w:val="superscript"/>
        </w:rPr>
        <w:t>nd</w:t>
      </w:r>
      <w:r w:rsidR="005B2212">
        <w:t xml:space="preserve"> century CE. </w:t>
      </w:r>
    </w:p>
    <w:p w:rsidR="00B320BB" w:rsidRDefault="00B320BB" w:rsidP="00B320BB">
      <w:pPr>
        <w:pStyle w:val="ListParagraph"/>
        <w:numPr>
          <w:ilvl w:val="0"/>
          <w:numId w:val="1"/>
        </w:numPr>
      </w:pPr>
      <w:r>
        <w:t xml:space="preserve">This story has lots of symmetrical reversals and “poetic justice.” All the plots by enemies of the Jewish people are revisited upon them. </w:t>
      </w:r>
    </w:p>
    <w:p w:rsidR="00B320BB" w:rsidRDefault="00B320BB" w:rsidP="00B320BB">
      <w:pPr>
        <w:pStyle w:val="ListParagraph"/>
        <w:numPr>
          <w:ilvl w:val="0"/>
          <w:numId w:val="1"/>
        </w:numPr>
      </w:pPr>
      <w:r>
        <w:t>God is not mentioned in Esther</w:t>
      </w:r>
      <w:r w:rsidR="005B2212">
        <w:t>, which makes it okay to illustrate the scroll</w:t>
      </w:r>
      <w:r>
        <w:t xml:space="preserve">; however, during the Greek or Hellenistic period, additions were made to make the characters more acceptable to observant Jews. These additions include personal prayer by both Esther and Mordecai. </w:t>
      </w:r>
    </w:p>
    <w:p w:rsidR="00B320BB" w:rsidRDefault="00B320BB" w:rsidP="00B320BB">
      <w:pPr>
        <w:pStyle w:val="ListParagraph"/>
        <w:numPr>
          <w:ilvl w:val="0"/>
          <w:numId w:val="1"/>
        </w:numPr>
      </w:pPr>
      <w:r>
        <w:t xml:space="preserve">Esther may have been purposely hyperbolic or even humorous. King Ahasuerus is seen as easily duped or led; the numbers listed for feast days and slaughtered enemies seem improbable. </w:t>
      </w:r>
    </w:p>
    <w:p w:rsidR="00B320BB" w:rsidRDefault="005B2212" w:rsidP="00B320BB">
      <w:pPr>
        <w:pStyle w:val="ListParagraph"/>
        <w:numPr>
          <w:ilvl w:val="0"/>
          <w:numId w:val="1"/>
        </w:numPr>
      </w:pPr>
      <w:r>
        <w:t xml:space="preserve">Martin Luther (the protestant leader, not the civil rights activist) wished it had never been written. </w:t>
      </w:r>
    </w:p>
    <w:p w:rsidR="005B2212" w:rsidRDefault="005B2212" w:rsidP="00B320BB">
      <w:pPr>
        <w:pStyle w:val="ListParagraph"/>
        <w:numPr>
          <w:ilvl w:val="0"/>
          <w:numId w:val="1"/>
        </w:numPr>
      </w:pPr>
      <w:r>
        <w:t xml:space="preserve">This story tells of a vassal people succeeding in a foreign empire and destroying their enemies by guile and sexuality. It celebrates the underdog. It does not advocate peaceful coexistence with other groups. </w:t>
      </w:r>
    </w:p>
    <w:p w:rsidR="005B2212" w:rsidRDefault="005B2212">
      <w:r>
        <w:br w:type="page"/>
      </w:r>
    </w:p>
    <w:p w:rsidR="005B2212" w:rsidRPr="00FC4BDB" w:rsidRDefault="005B2212" w:rsidP="005B2212">
      <w:r w:rsidRPr="00FC4BDB">
        <w:lastRenderedPageBreak/>
        <w:t>Esther p.708</w:t>
      </w:r>
      <w:r>
        <w:t xml:space="preserve"> Oxford NRSV</w:t>
      </w:r>
    </w:p>
    <w:p w:rsidR="005B2212" w:rsidRPr="00FC4BDB" w:rsidRDefault="005B2212" w:rsidP="005B2212">
      <w:r w:rsidRPr="00FC4BDB">
        <w:t>Additions p. 53 (Apocrypha)</w:t>
      </w:r>
    </w:p>
    <w:p w:rsidR="005B2212" w:rsidRPr="00FC4BDB" w:rsidRDefault="005B2212" w:rsidP="005B2212"/>
    <w:p w:rsidR="005B2212" w:rsidRPr="00FC4BDB" w:rsidRDefault="005B2212" w:rsidP="005B2212">
      <w:r w:rsidRPr="007E4B0F">
        <w:rPr>
          <w:b/>
        </w:rPr>
        <w:t>Setting</w:t>
      </w:r>
      <w:r>
        <w:t xml:space="preserve">: </w:t>
      </w:r>
      <w:r w:rsidRPr="00FC4BDB">
        <w:t>Persian Period 539-333 BCE</w:t>
      </w:r>
      <w:r>
        <w:t xml:space="preserve">. </w:t>
      </w:r>
      <w:r w:rsidRPr="00FC4BDB">
        <w:t xml:space="preserve">Xerxes I (“Ahasuerus”) 486-465 BCE. But though it has </w:t>
      </w:r>
      <w:r>
        <w:t xml:space="preserve">Persian names, it is a novella with clear historical inaccuracies. </w:t>
      </w:r>
    </w:p>
    <w:p w:rsidR="005B2212" w:rsidRDefault="005B2212" w:rsidP="005B2212">
      <w:pPr>
        <w:numPr>
          <w:ilvl w:val="0"/>
          <w:numId w:val="2"/>
        </w:numPr>
        <w:spacing w:after="0" w:line="240" w:lineRule="auto"/>
      </w:pPr>
      <w:r w:rsidRPr="00FC4BDB">
        <w:t>Background</w:t>
      </w:r>
      <w:r>
        <w:t xml:space="preserve"> of Persian period</w:t>
      </w:r>
      <w:r w:rsidRPr="00FC4BDB">
        <w:t xml:space="preserve">: Babylonian Nebuchadnezzar exiled ruling class and skilled artisans in 586 BCE. </w:t>
      </w:r>
      <w:r>
        <w:t xml:space="preserve">Most working class Jews remained in </w:t>
      </w:r>
      <w:smartTag w:uri="urn:schemas-microsoft-com:office:smarttags" w:element="place">
        <w:smartTag w:uri="urn:schemas-microsoft-com:office:smarttags" w:element="country-region">
          <w:r>
            <w:t>Israel</w:t>
          </w:r>
        </w:smartTag>
      </w:smartTag>
      <w:r>
        <w:t xml:space="preserve">. </w:t>
      </w:r>
    </w:p>
    <w:p w:rsidR="005B2212" w:rsidRDefault="005B2212" w:rsidP="005B2212">
      <w:pPr>
        <w:numPr>
          <w:ilvl w:val="0"/>
          <w:numId w:val="2"/>
        </w:numPr>
        <w:spacing w:after="0" w:line="240" w:lineRule="auto"/>
      </w:pPr>
      <w:r>
        <w:t>Persian period begins with invitation for Jews to return and rebuild temple, incited by 2</w:t>
      </w:r>
      <w:r w:rsidRPr="007E4B0F">
        <w:rPr>
          <w:vertAlign w:val="superscript"/>
        </w:rPr>
        <w:t>nd</w:t>
      </w:r>
      <w:r>
        <w:t xml:space="preserve"> Isaiah</w:t>
      </w:r>
    </w:p>
    <w:p w:rsidR="005B2212" w:rsidRPr="00FC4BDB" w:rsidRDefault="005B2212" w:rsidP="005B2212">
      <w:pPr>
        <w:numPr>
          <w:ilvl w:val="0"/>
          <w:numId w:val="2"/>
        </w:numPr>
        <w:spacing w:after="0" w:line="240" w:lineRule="auto"/>
      </w:pPr>
      <w:r>
        <w:t xml:space="preserve">Some Jews remain in </w:t>
      </w:r>
      <w:smartTag w:uri="urn:schemas-microsoft-com:office:smarttags" w:element="City">
        <w:smartTag w:uri="urn:schemas-microsoft-com:office:smarttags" w:element="place">
          <w:r>
            <w:t>Babylon</w:t>
          </w:r>
        </w:smartTag>
      </w:smartTag>
      <w:r>
        <w:t xml:space="preserve"> under new Persian regime; first “Diaspora” community</w:t>
      </w:r>
    </w:p>
    <w:p w:rsidR="005B2212" w:rsidRPr="00FC4BDB" w:rsidRDefault="005B2212" w:rsidP="005B2212">
      <w:pPr>
        <w:numPr>
          <w:ilvl w:val="0"/>
          <w:numId w:val="2"/>
        </w:numPr>
        <w:spacing w:after="0" w:line="240" w:lineRule="auto"/>
      </w:pPr>
      <w:r w:rsidRPr="00FC4BDB">
        <w:t>Little con</w:t>
      </w:r>
      <w:r>
        <w:t xml:space="preserve">sistent historical information about this period: Ezra 1-6, </w:t>
      </w:r>
      <w:r w:rsidRPr="00FC4BDB">
        <w:t xml:space="preserve"> Haggai refer to </w:t>
      </w:r>
      <w:r>
        <w:t>events</w:t>
      </w:r>
      <w:r w:rsidRPr="00FC4BDB">
        <w:t xml:space="preserve">, but aren’t internally consistent. </w:t>
      </w:r>
    </w:p>
    <w:p w:rsidR="005B2212" w:rsidRPr="00FC4BDB" w:rsidRDefault="005B2212" w:rsidP="005B2212">
      <w:pPr>
        <w:numPr>
          <w:ilvl w:val="0"/>
          <w:numId w:val="2"/>
        </w:numPr>
        <w:spacing w:after="0" w:line="240" w:lineRule="auto"/>
      </w:pPr>
      <w:r>
        <w:t xml:space="preserve">Structure benevolent dictatorship; </w:t>
      </w:r>
      <w:r w:rsidRPr="00FC4BDB">
        <w:t>Jewish governor</w:t>
      </w:r>
      <w:r>
        <w:t>s answer</w:t>
      </w:r>
      <w:r w:rsidRPr="00FC4BDB">
        <w:t xml:space="preserve"> to Persian king; often in conflict with </w:t>
      </w:r>
      <w:r>
        <w:t xml:space="preserve">Hebrew </w:t>
      </w:r>
      <w:r w:rsidRPr="00FC4BDB">
        <w:t xml:space="preserve">High priests. </w:t>
      </w:r>
    </w:p>
    <w:p w:rsidR="005B2212" w:rsidRPr="00FC4BDB" w:rsidRDefault="005B2212" w:rsidP="005B2212">
      <w:pPr>
        <w:numPr>
          <w:ilvl w:val="0"/>
          <w:numId w:val="2"/>
        </w:numPr>
        <w:spacing w:after="0" w:line="240" w:lineRule="auto"/>
      </w:pPr>
      <w:r>
        <w:t>At this time, the Pentateuch was probably re</w:t>
      </w:r>
      <w:r w:rsidRPr="00FC4BDB">
        <w:t xml:space="preserve">worked into its final form. –may have been sponsored by Persian govt. </w:t>
      </w:r>
    </w:p>
    <w:p w:rsidR="005B2212" w:rsidRPr="00FC4BDB" w:rsidRDefault="005B2212" w:rsidP="005B2212">
      <w:pPr>
        <w:numPr>
          <w:ilvl w:val="0"/>
          <w:numId w:val="2"/>
        </w:numPr>
        <w:spacing w:after="0" w:line="240" w:lineRule="auto"/>
      </w:pPr>
      <w:r w:rsidRPr="00FC4BDB">
        <w:t xml:space="preserve">Chronicles written (alternate history) at this  time; all according to Judean </w:t>
      </w:r>
      <w:r>
        <w:t>viewpoint</w:t>
      </w:r>
      <w:r w:rsidRPr="00FC4BDB">
        <w:t xml:space="preserve"> </w:t>
      </w:r>
    </w:p>
    <w:p w:rsidR="005B2212" w:rsidRPr="00FC4BDB" w:rsidRDefault="005B2212" w:rsidP="005B2212">
      <w:pPr>
        <w:numPr>
          <w:ilvl w:val="0"/>
          <w:numId w:val="2"/>
        </w:numPr>
        <w:spacing w:after="0" w:line="240" w:lineRule="auto"/>
      </w:pPr>
      <w:r w:rsidRPr="00FC4BDB">
        <w:t xml:space="preserve">Job, Ecclesiastes probably composed then; parts of Proverbs too. </w:t>
      </w:r>
    </w:p>
    <w:p w:rsidR="005B2212" w:rsidRPr="007E4B0F" w:rsidRDefault="005B2212" w:rsidP="005B2212">
      <w:pPr>
        <w:rPr>
          <w:b/>
        </w:rPr>
      </w:pPr>
    </w:p>
    <w:p w:rsidR="005B2212" w:rsidRPr="00FC4BDB" w:rsidRDefault="005B2212" w:rsidP="005B2212">
      <w:r w:rsidRPr="007E4B0F">
        <w:rPr>
          <w:b/>
        </w:rPr>
        <w:t>Composition:</w:t>
      </w:r>
      <w:r w:rsidRPr="00FC4BDB">
        <w:t xml:space="preserve"> Probably Hellenistic period pre Antiochus. Late 4</w:t>
      </w:r>
      <w:r w:rsidRPr="00FC4BDB">
        <w:rPr>
          <w:vertAlign w:val="superscript"/>
        </w:rPr>
        <w:t>th</w:t>
      </w:r>
      <w:r w:rsidRPr="00FC4BDB">
        <w:t xml:space="preserve"> century, early 3</w:t>
      </w:r>
      <w:r w:rsidRPr="00FC4BDB">
        <w:rPr>
          <w:vertAlign w:val="superscript"/>
        </w:rPr>
        <w:t>rd</w:t>
      </w:r>
      <w:r w:rsidRPr="00FC4BDB">
        <w:t xml:space="preserve">. </w:t>
      </w:r>
      <w:r>
        <w:t>Clues—Style, Opening, factual errors (e.g. Mordecai’s brother listed among original Babylonian exiles (587); would make him at least 120 years old, and Esther at least 80. )</w:t>
      </w:r>
    </w:p>
    <w:p w:rsidR="005B2212" w:rsidRPr="007E4B0F" w:rsidRDefault="005B2212" w:rsidP="005B2212">
      <w:pPr>
        <w:rPr>
          <w:b/>
        </w:rPr>
      </w:pPr>
    </w:p>
    <w:p w:rsidR="005B2212" w:rsidRDefault="005B2212" w:rsidP="005B2212">
      <w:r w:rsidRPr="007E4B0F">
        <w:rPr>
          <w:b/>
        </w:rPr>
        <w:t>Author</w:t>
      </w:r>
      <w:r w:rsidRPr="00FC4BDB">
        <w:t xml:space="preserve"> probably a Diaspora Jew in </w:t>
      </w:r>
      <w:smartTag w:uri="urn:schemas-microsoft-com:office:smarttags" w:element="place">
        <w:smartTag w:uri="urn:schemas-microsoft-com:office:smarttags" w:element="country-region">
          <w:r w:rsidRPr="00FC4BDB">
            <w:t>Persia</w:t>
          </w:r>
        </w:smartTag>
      </w:smartTag>
      <w:r w:rsidRPr="00FC4BDB">
        <w:t xml:space="preserve">; Esther (female) represents all marginalized and powerless. </w:t>
      </w:r>
      <w:r>
        <w:t xml:space="preserve">(analogous to an Islamic resident writing in the </w:t>
      </w: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—marginal citizens or those who must walk a careful line. Author carefully sets story about 180 years in past to avoid reprisals). </w:t>
      </w:r>
    </w:p>
    <w:p w:rsidR="005B2212" w:rsidRDefault="005B2212" w:rsidP="005B2212"/>
    <w:p w:rsidR="005B2212" w:rsidRPr="00FC4BDB" w:rsidRDefault="005B2212" w:rsidP="005B2212">
      <w:r w:rsidRPr="007E4B0F">
        <w:rPr>
          <w:b/>
        </w:rPr>
        <w:t>Purpose</w:t>
      </w:r>
      <w:r w:rsidRPr="00FC4BDB">
        <w:t xml:space="preserve">: </w:t>
      </w:r>
      <w:r>
        <w:t xml:space="preserve">argues that </w:t>
      </w:r>
      <w:r w:rsidRPr="00FC4BDB">
        <w:t>oppressed should act shrewdly</w:t>
      </w:r>
      <w:r>
        <w:t xml:space="preserve"> to survive and flourish</w:t>
      </w:r>
      <w:r w:rsidRPr="00FC4BDB">
        <w:t xml:space="preserve">; Legitimates Purim, which came from </w:t>
      </w:r>
      <w:smartTag w:uri="urn:schemas-microsoft-com:office:smarttags" w:element="City">
        <w:r w:rsidRPr="00FC4BDB">
          <w:t>Babylon</w:t>
        </w:r>
      </w:smartTag>
      <w:r w:rsidRPr="00FC4BDB">
        <w:t xml:space="preserve"> or </w:t>
      </w:r>
      <w:smartTag w:uri="urn:schemas-microsoft-com:office:smarttags" w:element="place">
        <w:smartTag w:uri="urn:schemas-microsoft-com:office:smarttags" w:element="country-region">
          <w:r w:rsidRPr="00FC4BDB">
            <w:t>Persia</w:t>
          </w:r>
        </w:smartTag>
      </w:smartTag>
      <w:r w:rsidRPr="00FC4BDB">
        <w:t xml:space="preserve"> and was adopted by Diaspora Jews. </w:t>
      </w:r>
    </w:p>
    <w:p w:rsidR="005B2212" w:rsidRPr="00FC4BDB" w:rsidRDefault="005B2212" w:rsidP="005B2212"/>
    <w:p w:rsidR="005B2212" w:rsidRPr="007E4B0F" w:rsidRDefault="005B2212" w:rsidP="005B2212">
      <w:pPr>
        <w:rPr>
          <w:b/>
        </w:rPr>
      </w:pPr>
      <w:r w:rsidRPr="007E4B0F">
        <w:rPr>
          <w:b/>
        </w:rPr>
        <w:t>Canon Controversy</w:t>
      </w:r>
    </w:p>
    <w:p w:rsidR="005B2212" w:rsidRDefault="005B2212" w:rsidP="005B2212">
      <w:pPr>
        <w:numPr>
          <w:ilvl w:val="0"/>
          <w:numId w:val="3"/>
        </w:numPr>
        <w:spacing w:after="0" w:line="240" w:lineRule="auto"/>
      </w:pPr>
      <w:r>
        <w:t>Some dislike it. Martin Luther wished it had never been written; it was only text not included among Dead Sea Scrolls</w:t>
      </w:r>
    </w:p>
    <w:p w:rsidR="005B2212" w:rsidRPr="00FC4BDB" w:rsidRDefault="005B2212" w:rsidP="005B2212">
      <w:pPr>
        <w:numPr>
          <w:ilvl w:val="0"/>
          <w:numId w:val="3"/>
        </w:numPr>
        <w:spacing w:after="0" w:line="240" w:lineRule="auto"/>
      </w:pPr>
      <w:r w:rsidRPr="00FC4BDB">
        <w:t>No mentions of God; interest in Fate; no Jewish practices or Dietary laws</w:t>
      </w:r>
    </w:p>
    <w:p w:rsidR="005B2212" w:rsidRPr="00FC4BDB" w:rsidRDefault="005B2212" w:rsidP="005B2212">
      <w:pPr>
        <w:numPr>
          <w:ilvl w:val="1"/>
          <w:numId w:val="3"/>
        </w:numPr>
        <w:spacing w:after="0" w:line="240" w:lineRule="auto"/>
      </w:pPr>
      <w:r w:rsidRPr="00FC4BDB">
        <w:t>However, steeped in biblical references and traditions</w:t>
      </w:r>
    </w:p>
    <w:p w:rsidR="005B2212" w:rsidRDefault="005B2212" w:rsidP="005B2212">
      <w:pPr>
        <w:numPr>
          <w:ilvl w:val="0"/>
          <w:numId w:val="3"/>
        </w:numPr>
        <w:spacing w:after="0" w:line="240" w:lineRule="auto"/>
      </w:pPr>
      <w:r w:rsidRPr="00FC4BDB">
        <w:t>Uncritical account of violence (“symmetric pattern of reversals”)</w:t>
      </w:r>
    </w:p>
    <w:p w:rsidR="005B2212" w:rsidRDefault="005B2212" w:rsidP="005B2212">
      <w:pPr>
        <w:numPr>
          <w:ilvl w:val="0"/>
          <w:numId w:val="3"/>
        </w:numPr>
        <w:spacing w:after="0" w:line="240" w:lineRule="auto"/>
      </w:pPr>
      <w:r>
        <w:t>Salacious content—Esther is a concubine who succeeds through beauty and perhaps sexual prowess</w:t>
      </w:r>
    </w:p>
    <w:p w:rsidR="005B2212" w:rsidRPr="00FC4BDB" w:rsidRDefault="005B2212" w:rsidP="005B2212">
      <w:pPr>
        <w:numPr>
          <w:ilvl w:val="0"/>
          <w:numId w:val="3"/>
        </w:numPr>
        <w:spacing w:after="0" w:line="240" w:lineRule="auto"/>
      </w:pPr>
      <w:r>
        <w:t>Arguably, whole purpose is to legitimize a pagan celebration; would have been unpopular with non-Diaspora Jews</w:t>
      </w:r>
    </w:p>
    <w:p w:rsidR="005B2212" w:rsidRPr="00FC4BDB" w:rsidRDefault="005B2212" w:rsidP="005B2212"/>
    <w:p w:rsidR="005B2212" w:rsidRPr="007E4B0F" w:rsidRDefault="005B2212" w:rsidP="005B2212">
      <w:pPr>
        <w:rPr>
          <w:b/>
        </w:rPr>
      </w:pPr>
      <w:r w:rsidRPr="007E4B0F">
        <w:rPr>
          <w:b/>
        </w:rPr>
        <w:t>Esther: Text</w:t>
      </w:r>
    </w:p>
    <w:p w:rsidR="005B2212" w:rsidRPr="00FC4BDB" w:rsidRDefault="005B2212" w:rsidP="005B2212">
      <w:pPr>
        <w:numPr>
          <w:ilvl w:val="0"/>
          <w:numId w:val="4"/>
        </w:numPr>
        <w:spacing w:after="0" w:line="240" w:lineRule="auto"/>
      </w:pPr>
      <w:r w:rsidRPr="00FC4BDB">
        <w:t>Opening: problem of dating</w:t>
      </w:r>
    </w:p>
    <w:p w:rsidR="005B2212" w:rsidRPr="00FC4BDB" w:rsidRDefault="005B2212" w:rsidP="005B2212">
      <w:pPr>
        <w:numPr>
          <w:ilvl w:val="0"/>
          <w:numId w:val="4"/>
        </w:numPr>
        <w:spacing w:after="0" w:line="240" w:lineRule="auto"/>
      </w:pPr>
      <w:r w:rsidRPr="00FC4BDB">
        <w:t>Opens and closes with a banquet</w:t>
      </w:r>
    </w:p>
    <w:p w:rsidR="005B2212" w:rsidRPr="00FC4BDB" w:rsidRDefault="005B2212" w:rsidP="005B2212">
      <w:pPr>
        <w:numPr>
          <w:ilvl w:val="0"/>
          <w:numId w:val="4"/>
        </w:numPr>
        <w:spacing w:after="0" w:line="240" w:lineRule="auto"/>
      </w:pPr>
      <w:r w:rsidRPr="00FC4BDB">
        <w:t>Structural devices: banquets, edicts (ironic in relation to each other), reversals</w:t>
      </w:r>
    </w:p>
    <w:p w:rsidR="005B2212" w:rsidRDefault="005B2212" w:rsidP="005B2212">
      <w:pPr>
        <w:numPr>
          <w:ilvl w:val="0"/>
          <w:numId w:val="4"/>
        </w:numPr>
        <w:spacing w:after="0" w:line="240" w:lineRule="auto"/>
      </w:pPr>
      <w:r>
        <w:t>Women: Vashti vs. Esther</w:t>
      </w:r>
    </w:p>
    <w:p w:rsidR="005B2212" w:rsidRDefault="005B2212" w:rsidP="005B2212">
      <w:pPr>
        <w:numPr>
          <w:ilvl w:val="1"/>
          <w:numId w:val="4"/>
        </w:numPr>
        <w:spacing w:after="0" w:line="240" w:lineRule="auto"/>
      </w:pPr>
      <w:r>
        <w:t xml:space="preserve">What is Vashti’s crime </w:t>
      </w:r>
    </w:p>
    <w:p w:rsidR="005B2212" w:rsidRDefault="005B2212" w:rsidP="005B2212">
      <w:pPr>
        <w:numPr>
          <w:ilvl w:val="1"/>
          <w:numId w:val="4"/>
        </w:numPr>
        <w:spacing w:after="0" w:line="240" w:lineRule="auto"/>
      </w:pPr>
      <w:r>
        <w:t xml:space="preserve">National crisis: satirical. Imagine Bush consulting Karl Rove when his wife disobeys him. </w:t>
      </w:r>
    </w:p>
    <w:p w:rsidR="005B2212" w:rsidRDefault="005B2212" w:rsidP="005B2212">
      <w:pPr>
        <w:numPr>
          <w:ilvl w:val="1"/>
          <w:numId w:val="4"/>
        </w:numPr>
        <w:spacing w:after="0" w:line="240" w:lineRule="auto"/>
      </w:pPr>
      <w:r>
        <w:t>emphasizes that king can be ruled by a woman</w:t>
      </w:r>
    </w:p>
    <w:p w:rsidR="005B2212" w:rsidRDefault="005B2212" w:rsidP="005B2212">
      <w:pPr>
        <w:numPr>
          <w:ilvl w:val="0"/>
          <w:numId w:val="4"/>
        </w:numPr>
        <w:spacing w:after="0" w:line="240" w:lineRule="auto"/>
      </w:pPr>
      <w:r>
        <w:t xml:space="preserve">Mordecai: implies he was exiled in 587 to </w:t>
      </w:r>
      <w:smartTag w:uri="urn:schemas-microsoft-com:office:smarttags" w:element="City">
        <w:smartTag w:uri="urn:schemas-microsoft-com:office:smarttags" w:element="place">
          <w:r>
            <w:t>Babylon</w:t>
          </w:r>
        </w:smartTag>
      </w:smartTag>
      <w:r>
        <w:t xml:space="preserve"> (at least 150 years prior)</w:t>
      </w:r>
    </w:p>
    <w:p w:rsidR="005B2212" w:rsidRDefault="005B2212" w:rsidP="005B2212">
      <w:pPr>
        <w:numPr>
          <w:ilvl w:val="1"/>
          <w:numId w:val="4"/>
        </w:numPr>
        <w:spacing w:after="0" w:line="240" w:lineRule="auto"/>
      </w:pPr>
      <w:r>
        <w:t>sits at gate—manages to overhear a great deal</w:t>
      </w:r>
    </w:p>
    <w:p w:rsidR="005B2212" w:rsidRDefault="005B2212" w:rsidP="005B2212">
      <w:pPr>
        <w:numPr>
          <w:ilvl w:val="1"/>
          <w:numId w:val="4"/>
        </w:numPr>
        <w:spacing w:after="0" w:line="240" w:lineRule="auto"/>
      </w:pPr>
      <w:r>
        <w:t>good Jew-doesn’t bow down to Haman; asks Esther to risk everything</w:t>
      </w:r>
    </w:p>
    <w:p w:rsidR="005B2212" w:rsidRDefault="005B2212" w:rsidP="005B2212">
      <w:pPr>
        <w:numPr>
          <w:ilvl w:val="0"/>
          <w:numId w:val="4"/>
        </w:numPr>
        <w:spacing w:after="0" w:line="240" w:lineRule="auto"/>
      </w:pPr>
      <w:r>
        <w:t>Preparation for Harem</w:t>
      </w:r>
    </w:p>
    <w:p w:rsidR="005B2212" w:rsidRDefault="005B2212" w:rsidP="005B2212">
      <w:pPr>
        <w:numPr>
          <w:ilvl w:val="0"/>
          <w:numId w:val="4"/>
        </w:numPr>
        <w:spacing w:after="0" w:line="240" w:lineRule="auto"/>
      </w:pPr>
      <w:r>
        <w:t>Story of lots—spurious invention to explain Purim</w:t>
      </w:r>
    </w:p>
    <w:p w:rsidR="005B2212" w:rsidRDefault="005B2212" w:rsidP="005B2212">
      <w:pPr>
        <w:numPr>
          <w:ilvl w:val="0"/>
          <w:numId w:val="4"/>
        </w:numPr>
        <w:spacing w:after="0" w:line="240" w:lineRule="auto"/>
      </w:pPr>
      <w:r>
        <w:t>Sackcloth and Ashes—form of mourning—discuss present ways we show mourning</w:t>
      </w:r>
    </w:p>
    <w:p w:rsidR="005B2212" w:rsidRDefault="005B2212" w:rsidP="005B2212">
      <w:pPr>
        <w:numPr>
          <w:ilvl w:val="0"/>
          <w:numId w:val="4"/>
        </w:numPr>
        <w:spacing w:after="0" w:line="240" w:lineRule="auto"/>
      </w:pPr>
      <w:r>
        <w:t>Mordecai’s charge to Esther 4:9</w:t>
      </w:r>
    </w:p>
    <w:p w:rsidR="005B2212" w:rsidRDefault="005B2212" w:rsidP="005B2212">
      <w:pPr>
        <w:numPr>
          <w:ilvl w:val="1"/>
          <w:numId w:val="4"/>
        </w:numPr>
        <w:spacing w:after="0" w:line="240" w:lineRule="auto"/>
      </w:pPr>
      <w:r>
        <w:t>Esther is not punished for breaking the law</w:t>
      </w:r>
    </w:p>
    <w:p w:rsidR="005B2212" w:rsidRDefault="005B2212" w:rsidP="005B2212">
      <w:pPr>
        <w:numPr>
          <w:ilvl w:val="0"/>
          <w:numId w:val="4"/>
        </w:numPr>
        <w:spacing w:after="0" w:line="240" w:lineRule="auto"/>
      </w:pPr>
      <w:r>
        <w:t xml:space="preserve">Reversal—happens because king happens to be reading his own annals. </w:t>
      </w:r>
    </w:p>
    <w:p w:rsidR="005B2212" w:rsidRDefault="005B2212" w:rsidP="005B2212">
      <w:pPr>
        <w:numPr>
          <w:ilvl w:val="1"/>
          <w:numId w:val="4"/>
        </w:numPr>
        <w:spacing w:after="0" w:line="240" w:lineRule="auto"/>
      </w:pPr>
      <w:r>
        <w:t>Haman is vain, thinks to be honored; describes honors for Mordecai</w:t>
      </w:r>
    </w:p>
    <w:p w:rsidR="005B2212" w:rsidRDefault="005B2212" w:rsidP="005B2212">
      <w:pPr>
        <w:numPr>
          <w:ilvl w:val="0"/>
          <w:numId w:val="4"/>
        </w:numPr>
        <w:spacing w:after="0" w:line="240" w:lineRule="auto"/>
      </w:pPr>
      <w:r>
        <w:t xml:space="preserve">Esther’s banquet speech: 7:3. </w:t>
      </w:r>
    </w:p>
    <w:p w:rsidR="005B2212" w:rsidRDefault="005B2212" w:rsidP="005B2212">
      <w:pPr>
        <w:numPr>
          <w:ilvl w:val="1"/>
          <w:numId w:val="4"/>
        </w:numPr>
        <w:spacing w:after="0" w:line="240" w:lineRule="auto"/>
      </w:pPr>
      <w:r>
        <w:t xml:space="preserve">Mordecai gets Haman’s power, reverses the PUR—destruction. Allows Jews to defend themselves against the Persians. </w:t>
      </w:r>
    </w:p>
    <w:p w:rsidR="005B2212" w:rsidRDefault="005B2212" w:rsidP="005B2212">
      <w:pPr>
        <w:numPr>
          <w:ilvl w:val="0"/>
          <w:numId w:val="4"/>
        </w:numPr>
        <w:spacing w:after="0" w:line="240" w:lineRule="auto"/>
      </w:pPr>
      <w:r>
        <w:t xml:space="preserve">Closing banquet, celebrates destruction of thousands. </w:t>
      </w:r>
    </w:p>
    <w:p w:rsidR="005B2212" w:rsidRDefault="005B2212" w:rsidP="005B2212">
      <w:pPr>
        <w:numPr>
          <w:ilvl w:val="0"/>
          <w:numId w:val="4"/>
        </w:numPr>
        <w:spacing w:after="0" w:line="240" w:lineRule="auto"/>
      </w:pPr>
      <w:r>
        <w:t xml:space="preserve">Esther orders the observation of Purim. </w:t>
      </w:r>
    </w:p>
    <w:p w:rsidR="005B2212" w:rsidRDefault="005B2212" w:rsidP="005B2212"/>
    <w:p w:rsidR="005B2212" w:rsidRPr="007E4B0F" w:rsidRDefault="005B2212" w:rsidP="005B2212">
      <w:pPr>
        <w:rPr>
          <w:b/>
        </w:rPr>
      </w:pPr>
      <w:r w:rsidRPr="007E4B0F">
        <w:rPr>
          <w:b/>
        </w:rPr>
        <w:t xml:space="preserve">How to read Esther: </w:t>
      </w:r>
    </w:p>
    <w:p w:rsidR="005B2212" w:rsidRDefault="005B2212" w:rsidP="005B2212">
      <w:pPr>
        <w:numPr>
          <w:ilvl w:val="0"/>
          <w:numId w:val="6"/>
        </w:numPr>
        <w:spacing w:after="0" w:line="240" w:lineRule="auto"/>
      </w:pPr>
      <w:r>
        <w:t>Feminist argument or not? Or do women merely symbolize all marginalized Jews?</w:t>
      </w:r>
    </w:p>
    <w:p w:rsidR="005B2212" w:rsidRDefault="005B2212" w:rsidP="005B2212"/>
    <w:p w:rsidR="005B2212" w:rsidRPr="007E4B0F" w:rsidRDefault="005B2212" w:rsidP="005B2212">
      <w:pPr>
        <w:rPr>
          <w:b/>
        </w:rPr>
      </w:pPr>
      <w:r w:rsidRPr="007E4B0F">
        <w:rPr>
          <w:b/>
        </w:rPr>
        <w:t>Apocryphal additions</w:t>
      </w:r>
    </w:p>
    <w:p w:rsidR="005B2212" w:rsidRDefault="005B2212" w:rsidP="005B2212"/>
    <w:p w:rsidR="005B2212" w:rsidRDefault="005B2212" w:rsidP="005B2212">
      <w:pPr>
        <w:numPr>
          <w:ilvl w:val="0"/>
          <w:numId w:val="5"/>
        </w:numPr>
        <w:spacing w:after="0" w:line="240" w:lineRule="auto"/>
      </w:pPr>
      <w:r>
        <w:t>“improvements” skillfully woven into regular story</w:t>
      </w:r>
    </w:p>
    <w:p w:rsidR="005B2212" w:rsidRDefault="005B2212" w:rsidP="005B2212">
      <w:pPr>
        <w:numPr>
          <w:ilvl w:val="1"/>
          <w:numId w:val="5"/>
        </w:numPr>
        <w:spacing w:after="0" w:line="240" w:lineRule="auto"/>
      </w:pPr>
      <w:r>
        <w:t>motivation and point of view for Esther (prayer to Yahweh)</w:t>
      </w:r>
    </w:p>
    <w:p w:rsidR="005B2212" w:rsidRDefault="005B2212" w:rsidP="005B2212">
      <w:pPr>
        <w:numPr>
          <w:ilvl w:val="1"/>
          <w:numId w:val="5"/>
        </w:numPr>
        <w:spacing w:after="0" w:line="240" w:lineRule="auto"/>
      </w:pPr>
      <w:r>
        <w:t>dream vision of Mordecai authorizes and organizes content</w:t>
      </w:r>
    </w:p>
    <w:p w:rsidR="005B2212" w:rsidRDefault="005B2212" w:rsidP="005B2212">
      <w:pPr>
        <w:numPr>
          <w:ilvl w:val="1"/>
          <w:numId w:val="5"/>
        </w:numPr>
        <w:spacing w:after="0" w:line="240" w:lineRule="auto"/>
      </w:pPr>
      <w:r>
        <w:t xml:space="preserve">more references to Yahweh </w:t>
      </w:r>
    </w:p>
    <w:p w:rsidR="005B2212" w:rsidRDefault="005B2212" w:rsidP="005B2212">
      <w:pPr>
        <w:numPr>
          <w:ilvl w:val="1"/>
          <w:numId w:val="5"/>
        </w:numPr>
        <w:spacing w:after="0" w:line="240" w:lineRule="auto"/>
      </w:pPr>
      <w:r>
        <w:t>harsher views of gentiles</w:t>
      </w:r>
    </w:p>
    <w:p w:rsidR="005B2212" w:rsidRDefault="005B2212" w:rsidP="005B2212">
      <w:pPr>
        <w:numPr>
          <w:ilvl w:val="0"/>
          <w:numId w:val="5"/>
        </w:numPr>
        <w:spacing w:after="0" w:line="240" w:lineRule="auto"/>
      </w:pPr>
      <w:r>
        <w:t>Issue of Greek content—early Hellenistic document revised by later Hellenists, considered inauthentic</w:t>
      </w:r>
    </w:p>
    <w:p w:rsidR="005B2212" w:rsidRDefault="005B2212" w:rsidP="005B2212"/>
    <w:p w:rsidR="005B2212" w:rsidRPr="00FC4BDB" w:rsidRDefault="005B2212" w:rsidP="005B2212">
      <w:pPr>
        <w:ind w:left="360"/>
      </w:pPr>
    </w:p>
    <w:p w:rsidR="005B2212" w:rsidRDefault="005B2212" w:rsidP="005B2212">
      <w:pPr>
        <w:pStyle w:val="ListParagraph"/>
      </w:pPr>
      <w:bookmarkStart w:id="0" w:name="_GoBack"/>
      <w:bookmarkEnd w:id="0"/>
    </w:p>
    <w:sectPr w:rsidR="005B2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72C8"/>
    <w:multiLevelType w:val="hybridMultilevel"/>
    <w:tmpl w:val="41105F02"/>
    <w:lvl w:ilvl="0" w:tplc="977E6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02CFE"/>
    <w:multiLevelType w:val="hybridMultilevel"/>
    <w:tmpl w:val="A8CAC100"/>
    <w:lvl w:ilvl="0" w:tplc="977E6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312AB"/>
    <w:multiLevelType w:val="hybridMultilevel"/>
    <w:tmpl w:val="ABA2D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D2946"/>
    <w:multiLevelType w:val="hybridMultilevel"/>
    <w:tmpl w:val="4FCA72DC"/>
    <w:lvl w:ilvl="0" w:tplc="977E6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C21FF"/>
    <w:multiLevelType w:val="hybridMultilevel"/>
    <w:tmpl w:val="E678369E"/>
    <w:lvl w:ilvl="0" w:tplc="977E6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5947"/>
    <w:multiLevelType w:val="hybridMultilevel"/>
    <w:tmpl w:val="53183424"/>
    <w:lvl w:ilvl="0" w:tplc="977E6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BB"/>
    <w:rsid w:val="00047F80"/>
    <w:rsid w:val="005B2212"/>
    <w:rsid w:val="00B320BB"/>
    <w:rsid w:val="00EA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4A5E574"/>
  <w15:chartTrackingRefBased/>
  <w15:docId w15:val="{D8875683-8C48-4270-A72D-1AF264CA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Adams</dc:creator>
  <cp:keywords/>
  <dc:description/>
  <cp:lastModifiedBy>Mary Adams</cp:lastModifiedBy>
  <cp:revision>2</cp:revision>
  <dcterms:created xsi:type="dcterms:W3CDTF">2020-02-13T18:40:00Z</dcterms:created>
  <dcterms:modified xsi:type="dcterms:W3CDTF">2020-02-13T18:40:00Z</dcterms:modified>
</cp:coreProperties>
</file>